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B" w:rsidRPr="00487401" w:rsidRDefault="0039411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39411B" w:rsidRPr="00487401" w:rsidRDefault="0039411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proofErr w:type="gramStart"/>
      <w:r w:rsidRPr="00487401">
        <w:rPr>
          <w:rFonts w:ascii="Times New Roman" w:hAnsi="Times New Roman"/>
          <w:i/>
        </w:rPr>
        <w:t>do</w:t>
      </w:r>
      <w:proofErr w:type="gramEnd"/>
      <w:r w:rsidRPr="00487401">
        <w:rPr>
          <w:rFonts w:ascii="Times New Roman" w:hAnsi="Times New Roman"/>
          <w:i/>
        </w:rPr>
        <w:t xml:space="preserve"> Uchwały Nr …/…/2025</w:t>
      </w:r>
    </w:p>
    <w:p w:rsidR="0039411B" w:rsidRPr="00487401" w:rsidRDefault="0039411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39411B" w:rsidRDefault="0039411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proofErr w:type="gramStart"/>
      <w:r w:rsidRPr="00487401">
        <w:rPr>
          <w:rFonts w:ascii="Times New Roman" w:hAnsi="Times New Roman"/>
          <w:i/>
        </w:rPr>
        <w:t>z</w:t>
      </w:r>
      <w:proofErr w:type="gramEnd"/>
      <w:r w:rsidRPr="00487401">
        <w:rPr>
          <w:rFonts w:ascii="Times New Roman" w:hAnsi="Times New Roman"/>
          <w:i/>
        </w:rPr>
        <w:t xml:space="preserve"> dnia ……… 2025 roku</w:t>
      </w:r>
    </w:p>
    <w:p w:rsidR="008F736A" w:rsidRDefault="008F736A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</w:p>
    <w:p w:rsidR="008F736A" w:rsidRDefault="008F736A" w:rsidP="008F736A">
      <w:pPr>
        <w:pStyle w:val="TytuPublink"/>
        <w:keepNext/>
        <w:widowControl/>
      </w:pPr>
      <w:r>
        <w:t>Objaśnienia przyjętych wartości do Wieloletniej Prognozy Finansowej Gminy Karnice na lata 2025-2037</w:t>
      </w:r>
    </w:p>
    <w:p w:rsidR="008F736A" w:rsidRDefault="008F736A" w:rsidP="008F736A">
      <w:pPr>
        <w:pStyle w:val="TekstPublink"/>
        <w:widowControl/>
      </w:pPr>
      <w:r>
        <w:t>Zgodnie ze zmianami w budżecie dokonano następujących zmian w Wieloletniej Prognozie Finansowej Gminy Karnice:</w:t>
      </w:r>
    </w:p>
    <w:p w:rsidR="008F736A" w:rsidRDefault="008F736A" w:rsidP="008F736A">
      <w:pPr>
        <w:pStyle w:val="ListaPublink"/>
        <w:widowControl/>
        <w:numPr>
          <w:ilvl w:val="0"/>
          <w:numId w:val="4"/>
        </w:numPr>
        <w:autoSpaceDE w:val="0"/>
        <w:autoSpaceDN w:val="0"/>
        <w:adjustRightInd w:val="0"/>
      </w:pPr>
      <w:r>
        <w:t>Dochody ogółem zwiększono o 66 839,67 zł, z czego dochody bieżące zwiększono o 66 839,67 zł, a dochody majątkowe nie uległy zmianie.</w:t>
      </w:r>
    </w:p>
    <w:p w:rsidR="008F736A" w:rsidRDefault="008F736A" w:rsidP="008F736A">
      <w:pPr>
        <w:pStyle w:val="ListaPublink"/>
        <w:widowControl/>
        <w:numPr>
          <w:ilvl w:val="0"/>
          <w:numId w:val="4"/>
        </w:numPr>
        <w:autoSpaceDE w:val="0"/>
        <w:autoSpaceDN w:val="0"/>
        <w:adjustRightInd w:val="0"/>
      </w:pPr>
      <w:r>
        <w:t>Wydatki ogółem zwiększono o 70 695,67 zł, z czego wydatki bieżące zwiększono o 62 695,67 zł, a wydatki majątkowe zwiększono o 8 000,00 zł.</w:t>
      </w:r>
    </w:p>
    <w:p w:rsidR="008F736A" w:rsidRDefault="008F736A" w:rsidP="008F736A">
      <w:pPr>
        <w:pStyle w:val="ListaPublink"/>
        <w:widowControl/>
        <w:numPr>
          <w:ilvl w:val="0"/>
          <w:numId w:val="4"/>
        </w:numPr>
        <w:autoSpaceDE w:val="0"/>
        <w:autoSpaceDN w:val="0"/>
        <w:adjustRightInd w:val="0"/>
      </w:pPr>
      <w:r>
        <w:t>Wynik budżetu jest nadwyżkowy i po zmianach wynosi 1 883 375,89 zł.</w:t>
      </w:r>
    </w:p>
    <w:p w:rsidR="008F736A" w:rsidRDefault="008F736A" w:rsidP="008F736A">
      <w:pPr>
        <w:pStyle w:val="TekstPublink"/>
        <w:widowControl/>
      </w:pPr>
      <w:r>
        <w:t>Szczegółowe informacje na temat zmian w zakresie dochodów, wydatków i wyniku budżetu w roku budżetowym przedstawiono w tabeli poniżej.</w:t>
      </w:r>
    </w:p>
    <w:p w:rsidR="008F736A" w:rsidRDefault="008F736A" w:rsidP="008F736A">
      <w:pPr>
        <w:pStyle w:val="PodpistabeliPublink"/>
        <w:keepNext/>
        <w:widowControl/>
      </w:pPr>
      <w:r>
        <w:t>Zmiany w dochodach i wydatkach w 2025 roku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F736A" w:rsidTr="00335B8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Po zmianie [zł]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51 978 116,34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+66 839,67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52 044 956,01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30 834 537,99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+66 839,67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30 901 377,66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</w:pPr>
            <w: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3 161 326,44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+70 839,67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3 232 166,11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</w:pPr>
            <w: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17 439 519,35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-4 000,00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17 435 519,35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50 090 884,45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+70 695,67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50 161 580,12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28 616 057,57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+62 695,67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28 678 753,24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</w:pPr>
            <w: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13 666 241,37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+28 055,81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13 694 297,18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</w:pPr>
            <w: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14 379 816,20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+34 639,86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14 414 456,06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21 474 826,88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+8 000,00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21 482 826,88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</w:pPr>
            <w:r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1 887 231,89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-3 856,00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WyrnionakomrkatabeliPublink"/>
              <w:widowControl/>
              <w:jc w:val="right"/>
            </w:pPr>
            <w:r>
              <w:t>1 883 375,89</w:t>
            </w:r>
          </w:p>
        </w:tc>
      </w:tr>
    </w:tbl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  <w:r>
        <w:t>Od 2026 r. nie dokonywano zmian w zakresie planowanych dochodów budżetowych.</w:t>
      </w:r>
    </w:p>
    <w:p w:rsidR="008F736A" w:rsidRDefault="008F736A" w:rsidP="008F736A">
      <w:pPr>
        <w:pStyle w:val="TekstPublink"/>
        <w:widowControl/>
      </w:pPr>
      <w:r>
        <w:t>W okresie prognozy WPF dokonano zmian w zakresie planowanych wydatków bieżących. Zmiany przedstawiono w tabeli poniżej.</w:t>
      </w:r>
    </w:p>
    <w:p w:rsidR="008F736A" w:rsidRDefault="008F736A" w:rsidP="008F736A">
      <w:pPr>
        <w:pStyle w:val="PodpistabeliPublink"/>
        <w:keepNext/>
        <w:widowControl/>
      </w:pPr>
      <w:r>
        <w:t>Zmiany w wydatkach bieżących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F736A" w:rsidTr="00335B8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Po zmianie [zł]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29 121 823,00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29 125 679,00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29 983 937,00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29 987 793,00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30 844 815,00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30 848 671,00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31 566 297,00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31 570 153,00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32 302 842,00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32 306 698,00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33 063 155,00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+13 711,00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33 076 866,00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33 799 239,00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+3 856,00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33 803 095,00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34 617 179,00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+3 822,70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34 621 001,70</w:t>
            </w:r>
          </w:p>
        </w:tc>
      </w:tr>
    </w:tbl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  <w:bookmarkStart w:id="0" w:name="_GoBack"/>
      <w:bookmarkEnd w:id="0"/>
    </w:p>
    <w:p w:rsidR="008F736A" w:rsidRDefault="008F736A" w:rsidP="008F736A">
      <w:pPr>
        <w:pStyle w:val="TekstPublink"/>
        <w:widowControl/>
      </w:pPr>
      <w:r>
        <w:t>W Wieloletniej Prognozie Finansowej Gminy Karnice:</w:t>
      </w:r>
    </w:p>
    <w:p w:rsidR="008F736A" w:rsidRDefault="008F736A" w:rsidP="008F736A">
      <w:pPr>
        <w:pStyle w:val="ListaPublink"/>
        <w:widowControl/>
        <w:numPr>
          <w:ilvl w:val="0"/>
          <w:numId w:val="5"/>
        </w:numPr>
        <w:autoSpaceDE w:val="0"/>
        <w:autoSpaceDN w:val="0"/>
        <w:adjustRightInd w:val="0"/>
      </w:pPr>
      <w:r>
        <w:t>Przychody ogółem w roku budżetowym nie uległy zmianie.</w:t>
      </w:r>
    </w:p>
    <w:p w:rsidR="008F736A" w:rsidRDefault="008F736A" w:rsidP="008F736A">
      <w:pPr>
        <w:pStyle w:val="ListaPublink"/>
        <w:widowControl/>
        <w:numPr>
          <w:ilvl w:val="0"/>
          <w:numId w:val="5"/>
        </w:numPr>
        <w:autoSpaceDE w:val="0"/>
        <w:autoSpaceDN w:val="0"/>
        <w:adjustRightInd w:val="0"/>
      </w:pPr>
      <w:r>
        <w:t>Rozchody ogółem w roku budżetowym nie uległy zmianie.</w:t>
      </w:r>
    </w:p>
    <w:p w:rsidR="008F736A" w:rsidRDefault="008F736A" w:rsidP="008F736A">
      <w:pPr>
        <w:pStyle w:val="TekstPublink"/>
        <w:widowControl/>
      </w:pPr>
      <w:r>
        <w:t>Od 2026 nie dokonywano zmian w zakresie planowanych przychodów.</w:t>
      </w:r>
    </w:p>
    <w:p w:rsidR="008F736A" w:rsidRDefault="008F736A" w:rsidP="008F736A">
      <w:pPr>
        <w:pStyle w:val="TekstPublink"/>
        <w:widowControl/>
      </w:pPr>
      <w:r>
        <w:t>Od 2026 nie dokonywano zmian w zakresie planowanych rozchodów.</w:t>
      </w:r>
    </w:p>
    <w:p w:rsidR="008F736A" w:rsidRDefault="008F736A" w:rsidP="008F736A">
      <w:pPr>
        <w:pStyle w:val="TekstPublink"/>
        <w:widowControl/>
      </w:pPr>
      <w:r>
        <w:t>W zakresie zawartych umów, rozchody Gminy Karnice zaplanowano zgodnie z harmonogramami. W tabeli poniżej spłatę ww. zobowiązań przedstawiono w kolumnie „Zobowiązanie historyczne”.</w:t>
      </w:r>
    </w:p>
    <w:p w:rsidR="008F736A" w:rsidRDefault="008F736A" w:rsidP="008F736A">
      <w:pPr>
        <w:pStyle w:val="TekstPublink"/>
        <w:widowControl/>
      </w:pPr>
      <w:r>
        <w:t>Spłatę zobowiązania planowanego do zaciągnięcia ujęto w latach 2025-2025. W tabeli poniżej spłatę ww. zobowiązań przedstawiono w kolumnie „Zobowiązanie planowane”.</w:t>
      </w:r>
    </w:p>
    <w:p w:rsidR="008F736A" w:rsidRDefault="008F736A" w:rsidP="008F736A">
      <w:pPr>
        <w:pStyle w:val="PodpistabeliPublink"/>
        <w:keepNext/>
        <w:widowControl/>
      </w:pPr>
      <w:r>
        <w:t>Spłata zaciągniętych i planowanych zobowiązań Gminy Karnice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F736A" w:rsidTr="00335B80">
        <w:trPr>
          <w:tblHeader/>
        </w:trPr>
        <w:tc>
          <w:tcPr>
            <w:tcW w:w="129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Rok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Zobowiązanie historyczne [zł]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Zobowiązanie planowane [zł]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Zobowiązania razem [zł]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2 682 088,07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2 500 000,00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5 182 088,07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1 317 064,00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1 317 064,00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1 417 064,00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1 417 064,00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697 064,00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697 064,00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747 064,00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747 064,00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747 064,00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747 064,00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710 831,00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710 831,00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776 144,00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776 144,00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776 177,30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776 177,30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680 000,00</w:t>
            </w:r>
          </w:p>
        </w:tc>
      </w:tr>
      <w:tr w:rsidR="008F736A" w:rsidTr="00335B8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998 000,00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998 000,00</w:t>
            </w:r>
          </w:p>
        </w:tc>
      </w:tr>
    </w:tbl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  <w: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8F736A" w:rsidRDefault="008F736A" w:rsidP="008F736A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8F736A" w:rsidTr="00335B80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 xml:space="preserve">Obsługa zadłużenia (fakt. </w:t>
            </w:r>
            <w:proofErr w:type="gramStart"/>
            <w:r>
              <w:rPr>
                <w:rFonts w:cs="Calibri"/>
              </w:rPr>
              <w:t>i</w:t>
            </w:r>
            <w:proofErr w:type="gramEnd"/>
            <w:r>
              <w:rPr>
                <w:rFonts w:cs="Calibri"/>
              </w:rPr>
              <w:t xml:space="preserve"> plan. </w:t>
            </w:r>
            <w:proofErr w:type="gramStart"/>
            <w:r>
              <w:rPr>
                <w:rFonts w:cs="Calibri"/>
              </w:rPr>
              <w:t>po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wyłączeniach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NagwektabeliPublink"/>
              <w:widowControl/>
              <w:jc w:val="center"/>
            </w:pPr>
            <w:r>
              <w:rPr>
                <w:rFonts w:cs="Calibri"/>
              </w:rPr>
              <w:t>Zachowanie relacji z art. 243 (w oparciu o wykonanie)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5,28%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16,78%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16,81%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5,84%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13,94%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13,96%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5,63%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14,26%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14,28%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3,34%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13,21%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3,22%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12,45%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12,46%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2,99%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8,58%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8,60%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7,27%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8,98%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8,98%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2,77%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2,18%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2,06%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8F736A" w:rsidTr="00335B8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F736A" w:rsidRDefault="008F736A" w:rsidP="00335B80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</w:tbl>
    <w:p w:rsidR="008F736A" w:rsidRDefault="008F736A" w:rsidP="008F736A">
      <w:pPr>
        <w:pStyle w:val="TekstPublink"/>
        <w:widowControl/>
      </w:pPr>
    </w:p>
    <w:p w:rsidR="008F736A" w:rsidRDefault="008F736A" w:rsidP="008F736A">
      <w:pPr>
        <w:pStyle w:val="TekstPublink"/>
        <w:widowControl/>
      </w:pPr>
      <w:r>
        <w:lastRenderedPageBreak/>
        <w:t xml:space="preserve">Dane w tabeli powyżej wskazują, że w całym okresie prognozy Gmina Karnice spełnia relację, o której mowa w art. 243 ust. 1 ustawy o finansach publicznych. Spełnienie dotyczy zarówno relacji obliczonej na podstawie planu na dzień 30.09.2024 </w:t>
      </w:r>
      <w:proofErr w:type="gramStart"/>
      <w:r>
        <w:t>r</w:t>
      </w:r>
      <w:proofErr w:type="gramEnd"/>
      <w:r>
        <w:t>. jak i w oparciu o dane z wykonania budżetu.</w:t>
      </w:r>
    </w:p>
    <w:p w:rsidR="008F736A" w:rsidRDefault="008F736A" w:rsidP="008F736A">
      <w:pPr>
        <w:pStyle w:val="TekstPublink"/>
        <w:widowControl/>
      </w:pPr>
      <w: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8F736A" w:rsidRDefault="008F736A" w:rsidP="008F736A">
      <w:pPr>
        <w:pStyle w:val="TekstPublink"/>
        <w:widowControl/>
      </w:pPr>
      <w:r>
        <w:t>Pełen zakres zmian obrazuje załącznik nr 1 do niniejszej uchwały.</w:t>
      </w:r>
    </w:p>
    <w:p w:rsidR="008F736A" w:rsidRPr="008F736A" w:rsidRDefault="008F736A" w:rsidP="008F736A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rPr>
          <w:rFonts w:ascii="Times New Roman" w:hAnsi="Times New Roman"/>
        </w:rPr>
      </w:pPr>
    </w:p>
    <w:sectPr w:rsidR="008F736A" w:rsidRPr="008F736A" w:rsidSect="008A1F8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2358FFA5"/>
    <w:multiLevelType w:val="multilevel"/>
    <w:tmpl w:val="30A2441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7A62FAE6"/>
    <w:multiLevelType w:val="multilevel"/>
    <w:tmpl w:val="1ADA62A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8B"/>
    <w:rsid w:val="001E368B"/>
    <w:rsid w:val="0039411B"/>
    <w:rsid w:val="00487401"/>
    <w:rsid w:val="008A1F86"/>
    <w:rsid w:val="008F736A"/>
    <w:rsid w:val="0096734C"/>
    <w:rsid w:val="00BA7A5D"/>
    <w:rsid w:val="00F23AF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86"/>
    <w:pPr>
      <w:widowControl w:val="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Numerwiersza">
    <w:name w:val="line number"/>
    <w:uiPriority w:val="99"/>
    <w:semiHidden/>
    <w:rsid w:val="008A1F86"/>
    <w:rPr>
      <w:rFonts w:cs="Times New Roman"/>
    </w:rPr>
  </w:style>
  <w:style w:type="character" w:styleId="Hipercze">
    <w:name w:val="Hyperlink"/>
    <w:uiPriority w:val="99"/>
    <w:rsid w:val="008A1F86"/>
    <w:rPr>
      <w:rFonts w:cs="Times New Roman"/>
      <w:color w:val="0000FF"/>
      <w:u w:val="single"/>
    </w:rPr>
  </w:style>
  <w:style w:type="table" w:styleId="Tabela-Prosty1">
    <w:name w:val="Table Simple 1"/>
    <w:basedOn w:val="Standardowy"/>
    <w:uiPriority w:val="99"/>
    <w:rsid w:val="008A1F86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4200</Characters>
  <Application>Microsoft Office Word</Application>
  <DocSecurity>0</DocSecurity>
  <Lines>35</Lines>
  <Paragraphs>9</Paragraphs>
  <ScaleCrop>false</ScaleCrop>
  <Company>Sil-art Rycho444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Kowalski Ryszard</cp:lastModifiedBy>
  <cp:revision>5</cp:revision>
  <dcterms:created xsi:type="dcterms:W3CDTF">2025-04-24T11:30:00Z</dcterms:created>
  <dcterms:modified xsi:type="dcterms:W3CDTF">2025-06-09T12:18:00Z</dcterms:modified>
</cp:coreProperties>
</file>