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B" w:rsidRPr="00487401" w:rsidRDefault="0039411B" w:rsidP="0059450C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39411B" w:rsidRPr="00487401" w:rsidRDefault="0039411B" w:rsidP="0059450C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do Uchwały Nr </w:t>
      </w:r>
      <w:r w:rsidR="0059450C">
        <w:rPr>
          <w:rFonts w:ascii="Times New Roman" w:hAnsi="Times New Roman"/>
          <w:i/>
        </w:rPr>
        <w:t>XIII</w:t>
      </w:r>
      <w:r w:rsidRPr="00487401">
        <w:rPr>
          <w:rFonts w:ascii="Times New Roman" w:hAnsi="Times New Roman"/>
          <w:i/>
        </w:rPr>
        <w:t>/</w:t>
      </w:r>
      <w:r w:rsidR="0059450C">
        <w:rPr>
          <w:rFonts w:ascii="Times New Roman" w:hAnsi="Times New Roman"/>
          <w:i/>
        </w:rPr>
        <w:t>106</w:t>
      </w:r>
      <w:r w:rsidRPr="00487401">
        <w:rPr>
          <w:rFonts w:ascii="Times New Roman" w:hAnsi="Times New Roman"/>
          <w:i/>
        </w:rPr>
        <w:t>/2025</w:t>
      </w:r>
    </w:p>
    <w:p w:rsidR="0039411B" w:rsidRPr="00487401" w:rsidRDefault="0039411B" w:rsidP="0059450C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39411B" w:rsidRPr="00487401" w:rsidRDefault="0039411B" w:rsidP="0059450C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z dnia </w:t>
      </w:r>
      <w:r w:rsidR="0059450C">
        <w:rPr>
          <w:rFonts w:ascii="Times New Roman" w:hAnsi="Times New Roman"/>
          <w:i/>
        </w:rPr>
        <w:t xml:space="preserve">5 maja </w:t>
      </w:r>
      <w:r w:rsidRPr="00487401">
        <w:rPr>
          <w:rFonts w:ascii="Times New Roman" w:hAnsi="Times New Roman"/>
          <w:i/>
        </w:rPr>
        <w:t>2025 roku</w:t>
      </w:r>
    </w:p>
    <w:p w:rsidR="0039411B" w:rsidRDefault="0039411B">
      <w:pPr>
        <w:pStyle w:val="TytuPublink"/>
        <w:keepNext/>
        <w:widowControl/>
      </w:pPr>
      <w:r>
        <w:t>Objaśnienia przyjętych wartości do Wieloletniej Prognozy Finansowej Gminy Karnice na lata 2025-2037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Zgodnie ze zmianami w budżecie dokonano następujących zmian w Wieloletniej Prognozie Finansowej Gminy Karnice:</w:t>
      </w:r>
    </w:p>
    <w:p w:rsidR="0039411B" w:rsidRDefault="0039411B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Dochody ogółem zwiększono o 5 134 899,87 zł, z czego dochody bieżące zwiększono o 34 990,45 zł, a dochody majątkowe zwiększono o 5 099 909,42 zł.</w:t>
      </w:r>
    </w:p>
    <w:p w:rsidR="0039411B" w:rsidRDefault="0039411B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Wydatki ogółem zwiększono o 5 766 612,84 zł, z czego wydatki bieżące zwiększono o 295 983,97 zł, a wydatki majątkowe zwiększono o 5 470 628,87 zł.</w:t>
      </w:r>
    </w:p>
    <w:p w:rsidR="0039411B" w:rsidRDefault="0039411B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Wynik budżetu jest nadwyżkowy i po zmianach wynosi 1 903 997,82 zł.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Szczegółowe informacje na temat zmian w zakresie dochodów, wydatków i wyniku budżetu w roku budżetowym przedstawiono w tabeli poniżej.</w:t>
      </w:r>
    </w:p>
    <w:p w:rsidR="0039411B" w:rsidRDefault="0039411B">
      <w:pPr>
        <w:pStyle w:val="PodpistabeliPublink"/>
        <w:keepNext/>
        <w:widowControl/>
      </w:pPr>
      <w:r>
        <w:t>Zmiany w dochodach i wydatkach w 2025 roku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268"/>
        <w:gridCol w:w="2268"/>
        <w:gridCol w:w="2268"/>
      </w:tblGrid>
      <w:tr w:rsidR="0039411B" w:rsidRPr="0096734C" w:rsidTr="0096734C">
        <w:trPr>
          <w:tblHeader/>
        </w:trPr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Zmiana [zł]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Po zmianie [zł]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46 803 135,50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+5 134 899,87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51 938 035,37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30 742 700,64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+34 990,45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30 777 691,09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Subwencja ogólna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1 465 048,75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+38 274,00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1 503 322,75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2 521 327,84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+583 151,70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3 104 479,54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18 025 954,60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-586 435,25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17 439 519,35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16 060 434,86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+5 099 909,42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21 160 344,28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44 267 424,71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+5 766 612,84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50 034 037,55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28 263 226,70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+295 983,97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28 559 210,67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13 495 901,52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+168 465,97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13 664 367,49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14 197 325,18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+127 518,00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14 324 843,18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16 004 198,01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+5 470 628,87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21 474 826,88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Wynik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2 535 710,79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-631 712,97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1 903 997,82</w:t>
            </w:r>
          </w:p>
        </w:tc>
      </w:tr>
    </w:tbl>
    <w:p w:rsidR="0039411B" w:rsidRDefault="0039411B">
      <w:pPr>
        <w:pStyle w:val="TekstPublink"/>
        <w:widowControl/>
        <w:rPr>
          <w:bCs/>
        </w:rPr>
      </w:pP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W Wieloletniej Prognozie Finansowej Gminy Karnice:</w:t>
      </w:r>
    </w:p>
    <w:p w:rsidR="0039411B" w:rsidRDefault="0039411B">
      <w:pPr>
        <w:pStyle w:val="ListaPublink"/>
        <w:widowControl/>
        <w:numPr>
          <w:ilvl w:val="0"/>
          <w:numId w:val="2"/>
        </w:numPr>
        <w:rPr>
          <w:bCs/>
        </w:rPr>
      </w:pPr>
      <w:r>
        <w:rPr>
          <w:bCs/>
        </w:rPr>
        <w:t>Przychody ogółem w roku budżetowym zwiększono o 3 131 712,97 zł, w tym przychody z tytułu kredytów, pożyczek lub emisji papierów wartościowych zwiększono o 2 500 000,00 zł.</w:t>
      </w:r>
    </w:p>
    <w:p w:rsidR="0039411B" w:rsidRDefault="0039411B">
      <w:pPr>
        <w:pStyle w:val="ListaPublink"/>
        <w:widowControl/>
        <w:numPr>
          <w:ilvl w:val="0"/>
          <w:numId w:val="2"/>
        </w:numPr>
        <w:rPr>
          <w:bCs/>
        </w:rPr>
      </w:pPr>
      <w:r>
        <w:rPr>
          <w:bCs/>
        </w:rPr>
        <w:t>Rozchody ogółem w roku budżetowym zwiększono o 2 500 000,00 zł, w tym z tytułu spłaty rat kapitałowych kredytów i pożyczek oraz wykupu papierów wartościowych zwiększono o 2 500 000,00 zł, zaś inne rozchody, niezwiązane ze spłatą długu, nie uległy zmianie.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Szczegółowe informacje na temat zmian w zakresie przychodów i rozchodów w roku budżetowym przedstawiono w tabeli poniżej.</w:t>
      </w:r>
    </w:p>
    <w:p w:rsidR="0039411B" w:rsidRDefault="0039411B">
      <w:pPr>
        <w:pStyle w:val="PodpistabeliPublink"/>
        <w:keepNext/>
        <w:widowControl/>
      </w:pPr>
      <w:r>
        <w:t>Zmiany w przychodach i rozchodach na 2025 rok.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268"/>
        <w:gridCol w:w="2268"/>
        <w:gridCol w:w="2268"/>
      </w:tblGrid>
      <w:tr w:rsidR="0039411B" w:rsidRPr="0096734C" w:rsidTr="0096734C">
        <w:trPr>
          <w:tblHeader/>
        </w:trPr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Zmiana [zł]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Po zmianie [zł]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Przychody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166 999,21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+3 131 712,97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3 298 712,18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Kredyty, pożyczki, emisja papierów wartościowych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+2 500 000,00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2 500 000,00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Nadwyżka budżetowa z lat ubiegłych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166 999,21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+631 712,97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798 712,18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Rozchody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2 702 710,00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+2 500 000,00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5 202 710,00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 xml:space="preserve">Spłata rat kapitałowych i wykup </w:t>
            </w:r>
            <w:r w:rsidRPr="0096734C">
              <w:rPr>
                <w:bCs/>
              </w:rPr>
              <w:lastRenderedPageBreak/>
              <w:t>obligacji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lastRenderedPageBreak/>
              <w:t>2 702 710,00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+2 500 000,00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5 202 710,00</w:t>
            </w:r>
          </w:p>
        </w:tc>
      </w:tr>
    </w:tbl>
    <w:p w:rsidR="0039411B" w:rsidRDefault="0039411B">
      <w:pPr>
        <w:pStyle w:val="Podpistabeli2Publink"/>
        <w:widowControl/>
        <w:rPr>
          <w:bCs/>
        </w:rPr>
      </w:pPr>
      <w:r>
        <w:rPr>
          <w:bCs/>
        </w:rPr>
        <w:lastRenderedPageBreak/>
        <w:t>Źródło: opracowanie własne.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Od 2026 nie dokonywano zmian w zakresie planowanych przychodów.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Od 2026 nie dokonywano zmian w zakresie planowanych rozchodów.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39411B" w:rsidRDefault="0039411B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8"/>
        <w:gridCol w:w="1726"/>
        <w:gridCol w:w="1468"/>
        <w:gridCol w:w="1468"/>
        <w:gridCol w:w="1469"/>
        <w:gridCol w:w="1473"/>
      </w:tblGrid>
      <w:tr w:rsidR="0039411B" w:rsidRPr="0096734C" w:rsidTr="0096734C">
        <w:trPr>
          <w:tblHeader/>
        </w:trPr>
        <w:tc>
          <w:tcPr>
            <w:tcW w:w="825" w:type="dxa"/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 xml:space="preserve">Obsługa zadłużenia (fakt. i plan. </w:t>
            </w:r>
            <w:proofErr w:type="spellStart"/>
            <w:r w:rsidRPr="0096734C">
              <w:t>powyłączeniach</w:t>
            </w:r>
            <w:proofErr w:type="spellEnd"/>
            <w:r w:rsidRPr="0096734C"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Zachowanie relacji z art. 243 (w oparciu o wykonanie)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14,38%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16,78%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16,81%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5,86%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13,94%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13,96%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5,64%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14,26%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14,28%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3,35%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13,20%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13,22%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3,24%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12,45%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12,46%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8,59%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8,60%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2,74%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7,27%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7,28%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2,86%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8,99%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8,99%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8,82%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8,82%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2,18%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8,77%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8,77%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2,06%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8,76%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8,76%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8,83%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8,83%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8,88%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8,88%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</w:tbl>
    <w:p w:rsidR="0039411B" w:rsidRDefault="0039411B">
      <w:pPr>
        <w:pStyle w:val="TekstPublink"/>
        <w:widowControl/>
        <w:rPr>
          <w:bCs/>
        </w:rPr>
      </w:pP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Dane w tabeli powyżej wskazują, że w całym okresie prognozy Gmina Karnice spełnia relację, o której mowa w art. 243 ust. 1 ustawy o finansach publicznych. Spełnienie dotyczy zarówno relacji obliczonej na podstawie planu na dzień 30.09.2024 r. jak i w oparciu o dane z wykonania budżetu.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Zmiana Wieloletniej Prognozy Finansowej Gminy Karnice obejmuje również zmiany w załączniku nr 3, które szczegółowo opisano poniżej.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Dokonano zmian w zakresie następujących przedsięwzięć:</w:t>
      </w:r>
    </w:p>
    <w:p w:rsidR="0039411B" w:rsidRDefault="0039411B">
      <w:pPr>
        <w:pStyle w:val="ListaPublink"/>
        <w:widowControl/>
        <w:numPr>
          <w:ilvl w:val="0"/>
          <w:numId w:val="3"/>
        </w:numPr>
        <w:rPr>
          <w:bCs/>
        </w:rPr>
      </w:pPr>
      <w:r>
        <w:rPr>
          <w:bCs/>
        </w:rPr>
        <w:t>Przebudowa dróg w Karnicach, Czaplinie Małym i Gościmierzu;</w:t>
      </w:r>
    </w:p>
    <w:p w:rsidR="0039411B" w:rsidRDefault="0039411B">
      <w:pPr>
        <w:pStyle w:val="ListaPublink"/>
        <w:widowControl/>
        <w:numPr>
          <w:ilvl w:val="0"/>
          <w:numId w:val="3"/>
        </w:numPr>
        <w:rPr>
          <w:bCs/>
        </w:rPr>
      </w:pPr>
      <w:r>
        <w:rPr>
          <w:bCs/>
        </w:rPr>
        <w:t>Budowa gminnego żłobka "Maluszek".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Pełen zakres zmian obrazują załączniki nr 1 i 3 do niniejszej uch</w:t>
      </w:r>
      <w:bookmarkStart w:id="0" w:name="_GoBack"/>
      <w:bookmarkEnd w:id="0"/>
      <w:r>
        <w:rPr>
          <w:bCs/>
        </w:rPr>
        <w:t>wały.</w:t>
      </w:r>
    </w:p>
    <w:sectPr w:rsidR="0039411B" w:rsidSect="008A1F86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8B"/>
    <w:rsid w:val="001E368B"/>
    <w:rsid w:val="0039411B"/>
    <w:rsid w:val="00487401"/>
    <w:rsid w:val="0059450C"/>
    <w:rsid w:val="00872192"/>
    <w:rsid w:val="008A1F86"/>
    <w:rsid w:val="0096734C"/>
    <w:rsid w:val="00BA7A5D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86"/>
    <w:pPr>
      <w:widowControl w:val="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Numerwiersza">
    <w:name w:val="line number"/>
    <w:basedOn w:val="Domylnaczcionkaakapitu"/>
    <w:uiPriority w:val="99"/>
    <w:semiHidden/>
    <w:rsid w:val="008A1F86"/>
    <w:rPr>
      <w:rFonts w:cs="Times New Roman"/>
    </w:rPr>
  </w:style>
  <w:style w:type="character" w:styleId="Hipercze">
    <w:name w:val="Hyperlink"/>
    <w:basedOn w:val="Domylnaczcionkaakapitu"/>
    <w:uiPriority w:val="99"/>
    <w:rsid w:val="008A1F86"/>
    <w:rPr>
      <w:rFonts w:cs="Times New Roman"/>
      <w:color w:val="0000FF"/>
      <w:u w:val="single"/>
    </w:rPr>
  </w:style>
  <w:style w:type="table" w:styleId="Tabela-Prosty1">
    <w:name w:val="Table Simple 1"/>
    <w:basedOn w:val="Standardowy"/>
    <w:uiPriority w:val="99"/>
    <w:rsid w:val="008A1F86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4012</Characters>
  <Application>Microsoft Office Word</Application>
  <DocSecurity>0</DocSecurity>
  <Lines>33</Lines>
  <Paragraphs>9</Paragraphs>
  <ScaleCrop>false</ScaleCrop>
  <Company>Sil-art Rycho444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user</cp:lastModifiedBy>
  <cp:revision>3</cp:revision>
  <dcterms:created xsi:type="dcterms:W3CDTF">2025-04-24T11:30:00Z</dcterms:created>
  <dcterms:modified xsi:type="dcterms:W3CDTF">2025-05-15T07:01:00Z</dcterms:modified>
</cp:coreProperties>
</file>